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D10BC" w14:textId="77777777" w:rsidR="00A27774" w:rsidRDefault="00A27774"/>
    <w:p w14:paraId="6396753D"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71D65691" w14:textId="77777777" w:rsidTr="00121457">
        <w:tc>
          <w:tcPr>
            <w:tcW w:w="1951" w:type="dxa"/>
            <w:gridSpan w:val="2"/>
          </w:tcPr>
          <w:p w14:paraId="1E1C9927" w14:textId="77777777" w:rsidR="005B5FC1" w:rsidRDefault="005B5FC1" w:rsidP="009D56B4">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EndPr/>
            <w:sdtContent>
              <w:p w14:paraId="4A2C2789" w14:textId="77777777" w:rsidR="00E3255B" w:rsidRPr="005B5FC1" w:rsidRDefault="008B71CE" w:rsidP="008B71CE">
                <w:pPr>
                  <w:rPr>
                    <w:rFonts w:asciiTheme="minorHAnsi" w:hAnsiTheme="minorHAnsi"/>
                    <w:b/>
                    <w:sz w:val="20"/>
                    <w:szCs w:val="20"/>
                  </w:rPr>
                </w:pPr>
                <w:r>
                  <w:rPr>
                    <w:rFonts w:asciiTheme="minorHAnsi" w:hAnsiTheme="minorHAnsi"/>
                    <w:b/>
                    <w:sz w:val="20"/>
                    <w:szCs w:val="20"/>
                  </w:rPr>
                  <w:t>2ON017</w:t>
                </w:r>
              </w:p>
            </w:sdtContent>
          </w:sdt>
        </w:tc>
        <w:tc>
          <w:tcPr>
            <w:tcW w:w="5670" w:type="dxa"/>
          </w:tcPr>
          <w:p w14:paraId="1AF59FB8"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EndPr/>
            <w:sdtContent>
              <w:p w14:paraId="5BFD0D5D" w14:textId="77777777" w:rsidR="00E3255B" w:rsidRDefault="008B71CE" w:rsidP="009D56B4">
                <w:pPr>
                  <w:rPr>
                    <w:rFonts w:asciiTheme="minorHAnsi" w:hAnsiTheme="minorHAnsi"/>
                    <w:b/>
                    <w:sz w:val="20"/>
                    <w:szCs w:val="20"/>
                  </w:rPr>
                </w:pPr>
                <w:r>
                  <w:rPr>
                    <w:rFonts w:asciiTheme="minorHAnsi" w:hAnsiTheme="minorHAnsi"/>
                    <w:b/>
                    <w:sz w:val="20"/>
                    <w:szCs w:val="20"/>
                  </w:rPr>
                  <w:t>Cancersjukdomar och omvårdnad vid behandling av cancersjukdomar</w:t>
                </w:r>
              </w:p>
            </w:sdtContent>
          </w:sdt>
          <w:p w14:paraId="15F6997B" w14:textId="77777777" w:rsidR="00E3255B" w:rsidRPr="005B5FC1" w:rsidRDefault="00E3255B" w:rsidP="009D56B4">
            <w:pPr>
              <w:rPr>
                <w:rFonts w:asciiTheme="minorHAnsi" w:hAnsiTheme="minorHAnsi"/>
                <w:b/>
                <w:sz w:val="20"/>
                <w:szCs w:val="20"/>
              </w:rPr>
            </w:pPr>
          </w:p>
        </w:tc>
        <w:tc>
          <w:tcPr>
            <w:tcW w:w="1559" w:type="dxa"/>
          </w:tcPr>
          <w:p w14:paraId="306ABE5B"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EndPr/>
            <w:sdtContent>
              <w:p w14:paraId="0A156528" w14:textId="77777777" w:rsidR="00E3255B" w:rsidRPr="005B5FC1" w:rsidRDefault="008B71CE" w:rsidP="008B71CE">
                <w:pPr>
                  <w:rPr>
                    <w:rFonts w:asciiTheme="minorHAnsi" w:hAnsiTheme="minorHAnsi"/>
                    <w:b/>
                    <w:sz w:val="20"/>
                    <w:szCs w:val="20"/>
                  </w:rPr>
                </w:pPr>
                <w:r>
                  <w:rPr>
                    <w:rFonts w:asciiTheme="minorHAnsi" w:hAnsiTheme="minorHAnsi"/>
                    <w:b/>
                    <w:sz w:val="20"/>
                    <w:szCs w:val="20"/>
                  </w:rPr>
                  <w:t>15</w:t>
                </w:r>
              </w:p>
            </w:sdtContent>
          </w:sdt>
        </w:tc>
      </w:tr>
      <w:tr w:rsidR="005B5FC1" w14:paraId="32C9B9CD" w14:textId="77777777" w:rsidTr="00121457">
        <w:trPr>
          <w:gridBefore w:val="1"/>
          <w:wBefore w:w="6" w:type="dxa"/>
        </w:trPr>
        <w:tc>
          <w:tcPr>
            <w:tcW w:w="1945" w:type="dxa"/>
          </w:tcPr>
          <w:p w14:paraId="46C3EADE"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65161998" w14:textId="77777777" w:rsidR="00E3255B" w:rsidRPr="005B5FC1" w:rsidRDefault="008B71CE" w:rsidP="008B71CE">
                <w:pPr>
                  <w:rPr>
                    <w:rFonts w:asciiTheme="minorHAnsi" w:hAnsiTheme="minorHAnsi"/>
                    <w:b/>
                    <w:sz w:val="20"/>
                    <w:szCs w:val="20"/>
                  </w:rPr>
                </w:pPr>
                <w:r>
                  <w:rPr>
                    <w:rFonts w:asciiTheme="minorHAnsi" w:hAnsiTheme="minorHAnsi"/>
                    <w:b/>
                    <w:sz w:val="20"/>
                    <w:szCs w:val="20"/>
                  </w:rPr>
                  <w:t>VT23-HT23</w:t>
                </w:r>
              </w:p>
            </w:sdtContent>
          </w:sdt>
        </w:tc>
        <w:tc>
          <w:tcPr>
            <w:tcW w:w="7229" w:type="dxa"/>
            <w:gridSpan w:val="2"/>
          </w:tcPr>
          <w:p w14:paraId="1BE0B8FC"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17254A15" w14:textId="77777777" w:rsidR="005B5FC1" w:rsidRDefault="008B71CE" w:rsidP="009D56B4">
                <w:pPr>
                  <w:rPr>
                    <w:rFonts w:asciiTheme="minorHAnsi" w:hAnsiTheme="minorHAnsi"/>
                    <w:b/>
                    <w:sz w:val="20"/>
                    <w:szCs w:val="20"/>
                  </w:rPr>
                </w:pPr>
                <w:r>
                  <w:rPr>
                    <w:rFonts w:asciiTheme="minorHAnsi" w:hAnsiTheme="minorHAnsi"/>
                    <w:b/>
                    <w:sz w:val="20"/>
                    <w:szCs w:val="20"/>
                  </w:rPr>
                  <w:t>2023-03-27—2023-11-03</w:t>
                </w:r>
              </w:p>
            </w:sdtContent>
          </w:sdt>
          <w:p w14:paraId="0C97B364" w14:textId="77777777" w:rsidR="001947C8" w:rsidRPr="005B5FC1" w:rsidRDefault="001947C8" w:rsidP="009D56B4">
            <w:pPr>
              <w:rPr>
                <w:rFonts w:asciiTheme="minorHAnsi" w:hAnsiTheme="minorHAnsi"/>
                <w:b/>
                <w:sz w:val="20"/>
                <w:szCs w:val="20"/>
              </w:rPr>
            </w:pPr>
          </w:p>
        </w:tc>
      </w:tr>
    </w:tbl>
    <w:p w14:paraId="7FE9C955"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69F99A98" w14:textId="77777777" w:rsidTr="000D61CC">
        <w:tc>
          <w:tcPr>
            <w:tcW w:w="4583" w:type="dxa"/>
          </w:tcPr>
          <w:p w14:paraId="46DDB63E"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42A545CF" w14:textId="77777777" w:rsidR="000F2950" w:rsidRDefault="008B71CE" w:rsidP="009D56B4">
                <w:pPr>
                  <w:rPr>
                    <w:rFonts w:asciiTheme="minorHAnsi" w:hAnsiTheme="minorHAnsi"/>
                    <w:b/>
                    <w:sz w:val="20"/>
                    <w:szCs w:val="20"/>
                  </w:rPr>
                </w:pPr>
                <w:r>
                  <w:rPr>
                    <w:rFonts w:asciiTheme="minorHAnsi" w:hAnsiTheme="minorHAnsi"/>
                    <w:b/>
                    <w:sz w:val="20"/>
                    <w:szCs w:val="20"/>
                  </w:rPr>
                  <w:t>Carina Lindblad</w:t>
                </w:r>
              </w:p>
            </w:sdtContent>
          </w:sdt>
          <w:p w14:paraId="5973F582" w14:textId="77777777" w:rsidR="000F2950" w:rsidRPr="000F2950" w:rsidRDefault="000F2950" w:rsidP="009D56B4">
            <w:pPr>
              <w:rPr>
                <w:rFonts w:asciiTheme="minorHAnsi" w:hAnsiTheme="minorHAnsi"/>
                <w:b/>
                <w:sz w:val="20"/>
                <w:szCs w:val="20"/>
              </w:rPr>
            </w:pPr>
          </w:p>
        </w:tc>
        <w:tc>
          <w:tcPr>
            <w:tcW w:w="4583" w:type="dxa"/>
          </w:tcPr>
          <w:p w14:paraId="509E57DD"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EndPr/>
            <w:sdtContent>
              <w:p w14:paraId="659D98BE" w14:textId="77777777" w:rsidR="00E3255B" w:rsidRPr="000F2950" w:rsidRDefault="008B71CE" w:rsidP="008B71CE">
                <w:pPr>
                  <w:rPr>
                    <w:rFonts w:asciiTheme="minorHAnsi" w:hAnsiTheme="minorHAnsi"/>
                    <w:b/>
                    <w:sz w:val="20"/>
                    <w:szCs w:val="20"/>
                  </w:rPr>
                </w:pPr>
                <w:r>
                  <w:rPr>
                    <w:rFonts w:asciiTheme="minorHAnsi" w:hAnsiTheme="minorHAnsi"/>
                    <w:b/>
                    <w:sz w:val="20"/>
                    <w:szCs w:val="20"/>
                  </w:rPr>
                  <w:t xml:space="preserve">Yvonne </w:t>
                </w:r>
                <w:proofErr w:type="spellStart"/>
                <w:r>
                  <w:rPr>
                    <w:rFonts w:asciiTheme="minorHAnsi" w:hAnsiTheme="minorHAnsi"/>
                    <w:b/>
                    <w:sz w:val="20"/>
                    <w:szCs w:val="20"/>
                  </w:rPr>
                  <w:t>Wengström</w:t>
                </w:r>
                <w:proofErr w:type="spellEnd"/>
              </w:p>
            </w:sdtContent>
          </w:sdt>
        </w:tc>
      </w:tr>
      <w:tr w:rsidR="000D61CC" w14:paraId="7DDBC843" w14:textId="77777777" w:rsidTr="000D61CC">
        <w:tc>
          <w:tcPr>
            <w:tcW w:w="4583" w:type="dxa"/>
          </w:tcPr>
          <w:p w14:paraId="27ACB6CD"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EndPr/>
            <w:sdtContent>
              <w:p w14:paraId="27ED9A6F" w14:textId="77777777" w:rsidR="000F2950" w:rsidRDefault="008B71CE" w:rsidP="009D56B4">
                <w:pPr>
                  <w:rPr>
                    <w:rFonts w:asciiTheme="minorHAnsi" w:hAnsiTheme="minorHAnsi"/>
                    <w:b/>
                    <w:sz w:val="20"/>
                    <w:szCs w:val="20"/>
                  </w:rPr>
                </w:pPr>
                <w:r>
                  <w:rPr>
                    <w:rFonts w:asciiTheme="minorHAnsi" w:hAnsiTheme="minorHAnsi"/>
                    <w:b/>
                    <w:sz w:val="20"/>
                    <w:szCs w:val="20"/>
                  </w:rPr>
                  <w:t>Maria Fjell</w:t>
                </w:r>
              </w:p>
            </w:sdtContent>
          </w:sdt>
          <w:p w14:paraId="614A647F" w14:textId="77777777" w:rsidR="000F2950" w:rsidRPr="000F2950" w:rsidRDefault="000F2950" w:rsidP="009D56B4">
            <w:pPr>
              <w:rPr>
                <w:rFonts w:asciiTheme="minorHAnsi" w:hAnsiTheme="minorHAnsi"/>
                <w:b/>
                <w:sz w:val="20"/>
                <w:szCs w:val="20"/>
              </w:rPr>
            </w:pPr>
          </w:p>
        </w:tc>
        <w:tc>
          <w:tcPr>
            <w:tcW w:w="4583" w:type="dxa"/>
          </w:tcPr>
          <w:p w14:paraId="7DFE439C"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howingPlcHdr/>
            </w:sdtPr>
            <w:sdtEndPr/>
            <w:sdtContent>
              <w:p w14:paraId="1E74B1F5" w14:textId="1BDA0E59" w:rsidR="00E3255B" w:rsidRPr="000F2950" w:rsidRDefault="00A27774" w:rsidP="008B71CE">
                <w:pPr>
                  <w:rPr>
                    <w:rFonts w:asciiTheme="minorHAnsi" w:hAnsiTheme="minorHAnsi"/>
                    <w:b/>
                    <w:sz w:val="20"/>
                    <w:szCs w:val="20"/>
                  </w:rPr>
                </w:pPr>
                <w:r w:rsidRPr="000056EF">
                  <w:rPr>
                    <w:rStyle w:val="Platshllartext"/>
                  </w:rPr>
                  <w:t>Klicka här för att ange text.</w:t>
                </w:r>
              </w:p>
            </w:sdtContent>
          </w:sdt>
        </w:tc>
      </w:tr>
    </w:tbl>
    <w:p w14:paraId="739E9E62"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6A67F83A" w14:textId="77777777" w:rsidTr="003A7EA4">
        <w:tc>
          <w:tcPr>
            <w:tcW w:w="2802" w:type="dxa"/>
          </w:tcPr>
          <w:p w14:paraId="272F131C"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53FCD63D" w14:textId="29B6074B" w:rsidR="00E3255B" w:rsidRPr="00121457" w:rsidRDefault="003129E8" w:rsidP="009D56B4">
                <w:pPr>
                  <w:rPr>
                    <w:rFonts w:asciiTheme="minorHAnsi" w:hAnsiTheme="minorHAnsi"/>
                    <w:b/>
                    <w:sz w:val="20"/>
                    <w:szCs w:val="20"/>
                  </w:rPr>
                </w:pPr>
                <w:r>
                  <w:rPr>
                    <w:rFonts w:asciiTheme="minorHAnsi" w:hAnsiTheme="minorHAnsi"/>
                    <w:b/>
                    <w:sz w:val="20"/>
                    <w:szCs w:val="20"/>
                  </w:rPr>
                  <w:t>36</w:t>
                </w:r>
              </w:p>
            </w:sdtContent>
          </w:sdt>
        </w:tc>
        <w:tc>
          <w:tcPr>
            <w:tcW w:w="2693" w:type="dxa"/>
          </w:tcPr>
          <w:p w14:paraId="25B3BD6D"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7B76BB36" w14:textId="4A56A28A" w:rsidR="00121457" w:rsidRPr="00121457" w:rsidRDefault="003129E8" w:rsidP="009D56B4">
                <w:pPr>
                  <w:rPr>
                    <w:rFonts w:asciiTheme="minorHAnsi" w:hAnsiTheme="minorHAnsi"/>
                    <w:b/>
                    <w:sz w:val="20"/>
                    <w:szCs w:val="20"/>
                  </w:rPr>
                </w:pPr>
                <w:r>
                  <w:rPr>
                    <w:rFonts w:asciiTheme="minorHAnsi" w:hAnsiTheme="minorHAnsi"/>
                    <w:b/>
                    <w:sz w:val="20"/>
                    <w:szCs w:val="20"/>
                  </w:rPr>
                  <w:t>7</w:t>
                </w:r>
              </w:p>
            </w:sdtContent>
          </w:sdt>
        </w:tc>
        <w:tc>
          <w:tcPr>
            <w:tcW w:w="3671" w:type="dxa"/>
          </w:tcPr>
          <w:p w14:paraId="14F904CD"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EndPr/>
            <w:sdtContent>
              <w:p w14:paraId="3039DB74" w14:textId="47078B0A" w:rsidR="00A6643D" w:rsidRDefault="00A27774" w:rsidP="0028717C">
                <w:pPr>
                  <w:rPr>
                    <w:rFonts w:asciiTheme="minorHAnsi" w:hAnsiTheme="minorHAnsi"/>
                    <w:b/>
                    <w:sz w:val="20"/>
                    <w:szCs w:val="20"/>
                  </w:rPr>
                </w:pPr>
                <w:r>
                  <w:rPr>
                    <w:rFonts w:asciiTheme="minorHAnsi" w:hAnsiTheme="minorHAnsi"/>
                    <w:b/>
                    <w:sz w:val="20"/>
                    <w:szCs w:val="20"/>
                  </w:rPr>
                  <w:t>7</w:t>
                </w:r>
              </w:p>
            </w:sdtContent>
          </w:sdt>
          <w:p w14:paraId="36A4C6B6" w14:textId="77777777" w:rsidR="00E3255B" w:rsidRPr="00121457" w:rsidRDefault="00E3255B" w:rsidP="0028717C">
            <w:pPr>
              <w:rPr>
                <w:rFonts w:asciiTheme="minorHAnsi" w:hAnsiTheme="minorHAnsi"/>
                <w:b/>
                <w:sz w:val="20"/>
                <w:szCs w:val="20"/>
              </w:rPr>
            </w:pPr>
          </w:p>
        </w:tc>
      </w:tr>
    </w:tbl>
    <w:p w14:paraId="31AAA72E" w14:textId="77777777" w:rsidR="009D56B4" w:rsidRDefault="009D56B4" w:rsidP="009D56B4">
      <w:pPr>
        <w:pStyle w:val="Rubrik4"/>
      </w:pPr>
      <w:r>
        <w:t xml:space="preserve">Slutsatser vid föregående kursutvärdering </w:t>
      </w:r>
    </w:p>
    <w:p w14:paraId="7ADC6EF1" w14:textId="6A04C656" w:rsidR="009D56B4" w:rsidRPr="00F10C42" w:rsidRDefault="002D760D" w:rsidP="009D56B4">
      <w:r w:rsidRPr="00F10C42">
        <w:t xml:space="preserve">Kursutvärdering </w:t>
      </w:r>
      <w:r w:rsidR="00F10C42" w:rsidRPr="00F10C42">
        <w:t xml:space="preserve">från förra kurstillfället </w:t>
      </w:r>
      <w:r w:rsidRPr="00F10C42">
        <w:t>finns inte publicerad.</w:t>
      </w:r>
    </w:p>
    <w:p w14:paraId="0BD14DDD" w14:textId="5439B126" w:rsidR="002D760D" w:rsidRPr="002D760D" w:rsidRDefault="009D56B4" w:rsidP="00F10C42">
      <w:pPr>
        <w:pStyle w:val="Rubrik4"/>
      </w:pPr>
      <w:r>
        <w:t xml:space="preserve">Beskrivning av genomförda förändringar sedan </w:t>
      </w:r>
      <w:r w:rsidR="00800CFE">
        <w:t>föregående kurstillfälle</w:t>
      </w:r>
    </w:p>
    <w:p w14:paraId="1C16455D" w14:textId="672C173B" w:rsidR="00F10C42" w:rsidRPr="00F10C42" w:rsidRDefault="002D760D" w:rsidP="002D760D">
      <w:pPr>
        <w:pStyle w:val="Rubrik4"/>
        <w:rPr>
          <w:rFonts w:ascii="Times New Roman" w:hAnsi="Times New Roman"/>
          <w:b w:val="0"/>
          <w:bCs w:val="0"/>
          <w:sz w:val="24"/>
          <w:szCs w:val="24"/>
        </w:rPr>
      </w:pPr>
      <w:r w:rsidRPr="00F10C42">
        <w:rPr>
          <w:rFonts w:ascii="Times New Roman" w:hAnsi="Times New Roman"/>
          <w:b w:val="0"/>
          <w:bCs w:val="0"/>
          <w:sz w:val="24"/>
          <w:szCs w:val="24"/>
        </w:rPr>
        <w:t xml:space="preserve">Kursen kommer även under VT23-HT23 ges helt webbaserat, liksom vid föregående kurstillfälle, då </w:t>
      </w:r>
      <w:r w:rsidR="00E67541">
        <w:rPr>
          <w:rFonts w:ascii="Times New Roman" w:hAnsi="Times New Roman"/>
          <w:b w:val="0"/>
          <w:bCs w:val="0"/>
          <w:sz w:val="24"/>
          <w:szCs w:val="24"/>
        </w:rPr>
        <w:t xml:space="preserve">detta möjliggör </w:t>
      </w:r>
      <w:r w:rsidRPr="00F10C42">
        <w:rPr>
          <w:rFonts w:ascii="Times New Roman" w:hAnsi="Times New Roman"/>
          <w:b w:val="0"/>
          <w:bCs w:val="0"/>
          <w:sz w:val="24"/>
          <w:szCs w:val="24"/>
        </w:rPr>
        <w:t>studenter</w:t>
      </w:r>
      <w:r w:rsidR="00E67541">
        <w:rPr>
          <w:rFonts w:ascii="Times New Roman" w:hAnsi="Times New Roman"/>
          <w:b w:val="0"/>
          <w:bCs w:val="0"/>
          <w:sz w:val="24"/>
          <w:szCs w:val="24"/>
        </w:rPr>
        <w:t xml:space="preserve"> från olika studieorter och livssituationer</w:t>
      </w:r>
      <w:r w:rsidRPr="00F10C42">
        <w:rPr>
          <w:rFonts w:ascii="Times New Roman" w:hAnsi="Times New Roman"/>
          <w:b w:val="0"/>
          <w:bCs w:val="0"/>
          <w:sz w:val="24"/>
          <w:szCs w:val="24"/>
        </w:rPr>
        <w:t>.</w:t>
      </w:r>
      <w:r w:rsidR="00F10C42" w:rsidRPr="00F10C42">
        <w:rPr>
          <w:rFonts w:ascii="Times New Roman" w:hAnsi="Times New Roman"/>
          <w:b w:val="0"/>
          <w:bCs w:val="0"/>
          <w:sz w:val="24"/>
          <w:szCs w:val="24"/>
        </w:rPr>
        <w:t xml:space="preserve"> </w:t>
      </w:r>
      <w:r w:rsidR="00F10C42" w:rsidRPr="00F10C42">
        <w:rPr>
          <w:rFonts w:ascii="Times New Roman" w:hAnsi="Times New Roman"/>
          <w:b w:val="0"/>
          <w:bCs w:val="0"/>
          <w:sz w:val="24"/>
          <w:szCs w:val="24"/>
        </w:rPr>
        <w:t>Digitala resurstillfällen kommer även framledes tillhandahållas för att främja möjligheten till dialog, vägledning och återkoppling utöver den återkoppling som ges i samband med studie- och examinationsuppgifterna för att främja studentinflytande.</w:t>
      </w:r>
      <w:r w:rsidRPr="00F10C42">
        <w:rPr>
          <w:rFonts w:ascii="Times New Roman" w:hAnsi="Times New Roman"/>
          <w:b w:val="0"/>
          <w:bCs w:val="0"/>
          <w:sz w:val="24"/>
          <w:szCs w:val="24"/>
        </w:rPr>
        <w:t xml:space="preserve"> </w:t>
      </w:r>
    </w:p>
    <w:p w14:paraId="55651440" w14:textId="6BFE9408" w:rsidR="009D56B4" w:rsidRPr="00F10C42" w:rsidRDefault="00D962F5" w:rsidP="00F10C42">
      <w:pPr>
        <w:pStyle w:val="Rubrik4"/>
        <w:rPr>
          <w:rFonts w:ascii="Times New Roman" w:hAnsi="Times New Roman"/>
          <w:b w:val="0"/>
          <w:bCs w:val="0"/>
          <w:sz w:val="24"/>
          <w:szCs w:val="24"/>
        </w:rPr>
      </w:pPr>
      <w:r w:rsidRPr="00F10C42">
        <w:rPr>
          <w:rFonts w:ascii="Times New Roman" w:hAnsi="Times New Roman"/>
          <w:b w:val="0"/>
          <w:bCs w:val="0"/>
          <w:sz w:val="24"/>
          <w:szCs w:val="24"/>
        </w:rPr>
        <w:t xml:space="preserve">Canvas kursrum har </w:t>
      </w:r>
      <w:r w:rsidR="00E67541">
        <w:rPr>
          <w:rFonts w:ascii="Times New Roman" w:hAnsi="Times New Roman"/>
          <w:b w:val="0"/>
          <w:bCs w:val="0"/>
          <w:sz w:val="24"/>
          <w:szCs w:val="24"/>
        </w:rPr>
        <w:t xml:space="preserve">sedan förra kurstillfället </w:t>
      </w:r>
      <w:r w:rsidRPr="00F10C42">
        <w:rPr>
          <w:rFonts w:ascii="Times New Roman" w:hAnsi="Times New Roman"/>
          <w:b w:val="0"/>
          <w:bCs w:val="0"/>
          <w:sz w:val="24"/>
          <w:szCs w:val="24"/>
        </w:rPr>
        <w:t xml:space="preserve">ändrats avseende struktur och </w:t>
      </w:r>
      <w:r w:rsidR="00F10C42" w:rsidRPr="00F10C42">
        <w:rPr>
          <w:rFonts w:ascii="Times New Roman" w:hAnsi="Times New Roman"/>
          <w:b w:val="0"/>
          <w:bCs w:val="0"/>
          <w:sz w:val="24"/>
          <w:szCs w:val="24"/>
        </w:rPr>
        <w:t>layout</w:t>
      </w:r>
      <w:r w:rsidRPr="00F10C42">
        <w:rPr>
          <w:rFonts w:ascii="Times New Roman" w:hAnsi="Times New Roman"/>
          <w:b w:val="0"/>
          <w:bCs w:val="0"/>
          <w:sz w:val="24"/>
          <w:szCs w:val="24"/>
        </w:rPr>
        <w:t xml:space="preserve">, för att göra </w:t>
      </w:r>
      <w:r w:rsidR="00F10C42" w:rsidRPr="00F10C42">
        <w:rPr>
          <w:rFonts w:ascii="Times New Roman" w:hAnsi="Times New Roman"/>
          <w:b w:val="0"/>
          <w:bCs w:val="0"/>
          <w:sz w:val="24"/>
          <w:szCs w:val="24"/>
        </w:rPr>
        <w:t>kursens moment och dess innehåll mer överskådliga</w:t>
      </w:r>
      <w:r w:rsidR="00E67541">
        <w:rPr>
          <w:rFonts w:ascii="Times New Roman" w:hAnsi="Times New Roman"/>
          <w:b w:val="0"/>
          <w:bCs w:val="0"/>
          <w:sz w:val="24"/>
          <w:szCs w:val="24"/>
        </w:rPr>
        <w:t xml:space="preserve"> för studenterna</w:t>
      </w:r>
      <w:r w:rsidR="00F10C42" w:rsidRPr="00F10C42">
        <w:rPr>
          <w:rFonts w:ascii="Times New Roman" w:hAnsi="Times New Roman"/>
          <w:b w:val="0"/>
          <w:bCs w:val="0"/>
          <w:sz w:val="24"/>
          <w:szCs w:val="24"/>
        </w:rPr>
        <w:t>.</w:t>
      </w:r>
      <w:r w:rsidR="00E67541">
        <w:rPr>
          <w:rFonts w:ascii="Times New Roman" w:hAnsi="Times New Roman"/>
          <w:b w:val="0"/>
          <w:bCs w:val="0"/>
          <w:sz w:val="24"/>
          <w:szCs w:val="24"/>
        </w:rPr>
        <w:t xml:space="preserve"> </w:t>
      </w:r>
      <w:r w:rsidR="00F10C42" w:rsidRPr="00F10C42">
        <w:rPr>
          <w:rFonts w:ascii="Times New Roman" w:hAnsi="Times New Roman"/>
          <w:b w:val="0"/>
          <w:bCs w:val="0"/>
          <w:sz w:val="24"/>
          <w:szCs w:val="24"/>
        </w:rPr>
        <w:t>Examinationsuppgifte</w:t>
      </w:r>
      <w:r w:rsidR="00E67541">
        <w:rPr>
          <w:rFonts w:ascii="Times New Roman" w:hAnsi="Times New Roman"/>
          <w:b w:val="0"/>
          <w:bCs w:val="0"/>
          <w:sz w:val="24"/>
          <w:szCs w:val="24"/>
        </w:rPr>
        <w:t>rna</w:t>
      </w:r>
      <w:r w:rsidR="00F10C42" w:rsidRPr="00F10C42">
        <w:rPr>
          <w:rFonts w:ascii="Times New Roman" w:hAnsi="Times New Roman"/>
          <w:b w:val="0"/>
          <w:bCs w:val="0"/>
          <w:sz w:val="24"/>
          <w:szCs w:val="24"/>
        </w:rPr>
        <w:t xml:space="preserve"> har gjorts om för att</w:t>
      </w:r>
      <w:r w:rsidR="00E67541">
        <w:rPr>
          <w:rFonts w:ascii="Times New Roman" w:hAnsi="Times New Roman"/>
          <w:b w:val="0"/>
          <w:bCs w:val="0"/>
          <w:sz w:val="24"/>
          <w:szCs w:val="24"/>
        </w:rPr>
        <w:t xml:space="preserve"> studenterna ska</w:t>
      </w:r>
      <w:r w:rsidR="00F10C42" w:rsidRPr="00F10C42">
        <w:rPr>
          <w:rFonts w:ascii="Times New Roman" w:hAnsi="Times New Roman"/>
          <w:b w:val="0"/>
          <w:bCs w:val="0"/>
          <w:sz w:val="24"/>
          <w:szCs w:val="24"/>
        </w:rPr>
        <w:t xml:space="preserve"> kunna använda </w:t>
      </w:r>
      <w:r w:rsidR="00E67541">
        <w:rPr>
          <w:rFonts w:ascii="Times New Roman" w:hAnsi="Times New Roman"/>
          <w:b w:val="0"/>
          <w:bCs w:val="0"/>
          <w:sz w:val="24"/>
          <w:szCs w:val="24"/>
        </w:rPr>
        <w:t xml:space="preserve">innehållet i dessa </w:t>
      </w:r>
      <w:r w:rsidR="00F10C42" w:rsidRPr="00F10C42">
        <w:rPr>
          <w:rFonts w:ascii="Times New Roman" w:hAnsi="Times New Roman"/>
          <w:b w:val="0"/>
          <w:bCs w:val="0"/>
          <w:sz w:val="24"/>
          <w:szCs w:val="24"/>
        </w:rPr>
        <w:t xml:space="preserve">som kunskapsbas i den kliniska vardagen och </w:t>
      </w:r>
      <w:r w:rsidR="00E67541">
        <w:rPr>
          <w:rFonts w:ascii="Times New Roman" w:hAnsi="Times New Roman"/>
          <w:b w:val="0"/>
          <w:bCs w:val="0"/>
          <w:sz w:val="24"/>
          <w:szCs w:val="24"/>
        </w:rPr>
        <w:t xml:space="preserve">som del av </w:t>
      </w:r>
      <w:r w:rsidR="00F10C42" w:rsidRPr="00F10C42">
        <w:rPr>
          <w:rFonts w:ascii="Times New Roman" w:hAnsi="Times New Roman"/>
          <w:b w:val="0"/>
          <w:bCs w:val="0"/>
          <w:sz w:val="24"/>
          <w:szCs w:val="24"/>
        </w:rPr>
        <w:t>det livslånga lärandet.</w:t>
      </w:r>
      <w:r w:rsidR="002D760D" w:rsidRPr="00F10C42">
        <w:rPr>
          <w:rFonts w:ascii="Times New Roman" w:hAnsi="Times New Roman"/>
          <w:b w:val="0"/>
          <w:bCs w:val="0"/>
          <w:sz w:val="24"/>
          <w:szCs w:val="24"/>
        </w:rPr>
        <w:t xml:space="preserve"> </w:t>
      </w:r>
    </w:p>
    <w:p w14:paraId="21C6B0D2" w14:textId="77777777" w:rsidR="009D56B4" w:rsidRDefault="009D56B4" w:rsidP="009D56B4">
      <w:pPr>
        <w:pStyle w:val="Rubrik4"/>
      </w:pPr>
      <w:r>
        <w:t xml:space="preserve">Sammanfattning av studenternas </w:t>
      </w:r>
      <w:r w:rsidR="002833B7">
        <w:t>svar på kursvärdering</w:t>
      </w:r>
    </w:p>
    <w:p w14:paraId="5E7A2C66" w14:textId="77777777" w:rsidR="00CA4A32" w:rsidRDefault="00CA4A32" w:rsidP="00CA4A32">
      <w:proofErr w:type="gramStart"/>
      <w:r>
        <w:t>52.6</w:t>
      </w:r>
      <w:proofErr w:type="gramEnd"/>
      <w:r>
        <w:t xml:space="preserve">% rapporterade att de i hög grad och 5.3% i mycket hög grad genom kursen utvecklat värdefulla kunskaper och färdigheter. </w:t>
      </w:r>
      <w:proofErr w:type="gramStart"/>
      <w:r>
        <w:t>57.9</w:t>
      </w:r>
      <w:proofErr w:type="gramEnd"/>
      <w:r>
        <w:t xml:space="preserve">% rapporterade att de i hög grad och 21.1% i mycket hög grad uppnått all kursens lärandemål. </w:t>
      </w:r>
      <w:proofErr w:type="gramStart"/>
      <w:r>
        <w:t>36.8</w:t>
      </w:r>
      <w:proofErr w:type="gramEnd"/>
      <w:r>
        <w:t>% rapporterade att det i hög grad och 21.1% i mycket hög grad fanns en röd tråd genom kursen -från lärandemål till examination.</w:t>
      </w:r>
      <w:r w:rsidRPr="00583F2D">
        <w:t xml:space="preserve"> </w:t>
      </w:r>
    </w:p>
    <w:p w14:paraId="1006232B" w14:textId="77777777" w:rsidR="00CA4A32" w:rsidRDefault="00CA4A32" w:rsidP="00CA4A32"/>
    <w:p w14:paraId="567FE17E" w14:textId="6DA0B5DE" w:rsidR="00CA4A32" w:rsidRPr="00CA4A32" w:rsidRDefault="00CA4A32" w:rsidP="00CA4A32">
      <w:pPr>
        <w:rPr>
          <w:color w:val="FF0000"/>
        </w:rPr>
      </w:pPr>
      <w:proofErr w:type="gramStart"/>
      <w:r>
        <w:t>42</w:t>
      </w:r>
      <w:r w:rsidRPr="00583F2D">
        <w:t>.</w:t>
      </w:r>
      <w:r>
        <w:t>1</w:t>
      </w:r>
      <w:proofErr w:type="gramEnd"/>
      <w:r w:rsidRPr="00583F2D">
        <w:t>% rappo</w:t>
      </w:r>
      <w:r>
        <w:t>rterade att de i hög grad och 10.5</w:t>
      </w:r>
      <w:r w:rsidRPr="00583F2D">
        <w:t>% att de i mycket hög grad hade en klar bild av vad som förväntades av dem</w:t>
      </w:r>
      <w:r>
        <w:t>.</w:t>
      </w:r>
      <w:r w:rsidRPr="00583F2D">
        <w:t xml:space="preserve"> </w:t>
      </w:r>
      <w:r w:rsidR="0094249F" w:rsidRPr="00854CC1">
        <w:t>Kommentar från studenterna var att</w:t>
      </w:r>
      <w:r w:rsidR="00854CC1" w:rsidRPr="00854CC1">
        <w:t xml:space="preserve"> </w:t>
      </w:r>
      <w:r w:rsidR="00854CC1">
        <w:t>vissa uppgifter var svåra och otydliga, mer lärarstöd hade behövts</w:t>
      </w:r>
      <w:r w:rsidR="00854CC1" w:rsidRPr="00854CC1">
        <w:t>.</w:t>
      </w:r>
      <w:r w:rsidR="0094249F" w:rsidRPr="00854CC1">
        <w:t xml:space="preserve"> </w:t>
      </w:r>
      <w:proofErr w:type="gramStart"/>
      <w:r w:rsidR="0094249F">
        <w:t>36.8</w:t>
      </w:r>
      <w:proofErr w:type="gramEnd"/>
      <w:r w:rsidR="0094249F">
        <w:t>% rappo</w:t>
      </w:r>
      <w:r w:rsidR="009358E8">
        <w:t xml:space="preserve">rterade att kursens </w:t>
      </w:r>
      <w:r w:rsidR="0094249F">
        <w:t>upplägg</w:t>
      </w:r>
      <w:r w:rsidR="009358E8">
        <w:t>/arbetsformer/lä</w:t>
      </w:r>
      <w:r w:rsidR="00D962F5">
        <w:t>r</w:t>
      </w:r>
      <w:r w:rsidR="009358E8">
        <w:t>aktiviteter</w:t>
      </w:r>
      <w:r w:rsidR="0094249F">
        <w:t xml:space="preserve"> i hög grad och 5.3% i mycket hög grad har varit ett stöd för lärandet. </w:t>
      </w:r>
      <w:r w:rsidR="0094249F" w:rsidRPr="000B7254">
        <w:t>Kommentar från studenterna var at</w:t>
      </w:r>
      <w:r w:rsidR="00854CC1" w:rsidRPr="000B7254">
        <w:t>t flera föreläsningar</w:t>
      </w:r>
      <w:r w:rsidR="000B7254">
        <w:t xml:space="preserve">, </w:t>
      </w:r>
      <w:r w:rsidR="00854CC1" w:rsidRPr="000B7254">
        <w:t xml:space="preserve">resurstillfällen </w:t>
      </w:r>
      <w:r w:rsidR="000B7254" w:rsidRPr="000B7254">
        <w:t xml:space="preserve">samt tydligare instruktioner </w:t>
      </w:r>
      <w:r w:rsidR="00854CC1" w:rsidRPr="000B7254">
        <w:t>skulle vara ett ytterligare stöd för lärandet</w:t>
      </w:r>
      <w:r w:rsidRPr="000B7254">
        <w:t>.</w:t>
      </w:r>
      <w:r w:rsidR="00854CC1" w:rsidRPr="000B7254">
        <w:t xml:space="preserve"> Examinationsuppgiften upplevdes fokusera på ett för smalt ämnesområde</w:t>
      </w:r>
      <w:r w:rsidR="000B7254" w:rsidRPr="000B7254">
        <w:t>.</w:t>
      </w:r>
      <w:r w:rsidRPr="00CA4A32">
        <w:rPr>
          <w:color w:val="FF0000"/>
        </w:rPr>
        <w:t xml:space="preserve"> </w:t>
      </w:r>
      <w:proofErr w:type="gramStart"/>
      <w:r>
        <w:t>47.4</w:t>
      </w:r>
      <w:proofErr w:type="gramEnd"/>
      <w:r>
        <w:t>% rapporterade att kursen i hög grad och 26.3% i mycket hög grad stimulerat dem till vetenskapligt förhållningssätt</w:t>
      </w:r>
      <w:r w:rsidR="00BE34D5">
        <w:t xml:space="preserve">. </w:t>
      </w:r>
      <w:proofErr w:type="gramStart"/>
      <w:r w:rsidR="0094249F" w:rsidRPr="0094249F">
        <w:t>42.1</w:t>
      </w:r>
      <w:proofErr w:type="gramEnd"/>
      <w:r w:rsidR="0094249F" w:rsidRPr="0094249F">
        <w:t>%</w:t>
      </w:r>
      <w:r w:rsidR="0094249F">
        <w:t xml:space="preserve"> </w:t>
      </w:r>
      <w:r w:rsidR="0094249F">
        <w:lastRenderedPageBreak/>
        <w:t>rapporterade att de i hög grad och 31.6% i mycket hög grad att lärarna varit tillmötesgående under kursens gång för idéer och synpunkter på kursens utformning och innehåll.</w:t>
      </w:r>
    </w:p>
    <w:p w14:paraId="02FA7372" w14:textId="77777777" w:rsidR="00CA4A32" w:rsidRDefault="00CA4A32" w:rsidP="00CA4A32"/>
    <w:p w14:paraId="5D2B99A1" w14:textId="77777777" w:rsidR="009D56B4" w:rsidRDefault="00BE34D5" w:rsidP="009D56B4">
      <w:r>
        <w:t xml:space="preserve">Studenterna rapporterade följande avseende sina två VFU-perioder: </w:t>
      </w:r>
      <w:proofErr w:type="gramStart"/>
      <w:r>
        <w:t>26.3</w:t>
      </w:r>
      <w:proofErr w:type="gramEnd"/>
      <w:r>
        <w:t xml:space="preserve">% rapporterade att de i hög grad och 21.1% i mycket hög grad tränat på/diskuterat evidensbaserat arbetssätt. </w:t>
      </w:r>
      <w:proofErr w:type="gramStart"/>
      <w:r>
        <w:t>47.4</w:t>
      </w:r>
      <w:proofErr w:type="gramEnd"/>
      <w:r>
        <w:t>% rapporterade att de i hög grad och 42.1% i mycket hög grad haft tillgång till de fysiska förutsättningar de var i behov av. 36.8% rapporterade att de i hög grad och 26.3% i mycket hög grad tränat på säkra arbetssätt för att undvika risker och tillbud under sin VFU.</w:t>
      </w:r>
    </w:p>
    <w:p w14:paraId="3B9C3D9E" w14:textId="77777777" w:rsidR="00C76F48" w:rsidRDefault="00C76F48" w:rsidP="009D56B4">
      <w:pPr>
        <w:rPr>
          <w:color w:val="FF0000"/>
        </w:rPr>
      </w:pPr>
    </w:p>
    <w:p w14:paraId="6CB19EB0" w14:textId="0BB50C0E" w:rsidR="009358E8" w:rsidRPr="00C76F48" w:rsidRDefault="009358E8" w:rsidP="009D56B4">
      <w:pPr>
        <w:rPr>
          <w:rFonts w:ascii="Arial" w:hAnsi="Arial" w:cs="Arial"/>
          <w:b/>
          <w:bCs/>
          <w:sz w:val="20"/>
          <w:szCs w:val="20"/>
        </w:rPr>
      </w:pPr>
      <w:r w:rsidRPr="00C76F48">
        <w:rPr>
          <w:rFonts w:ascii="Arial" w:hAnsi="Arial" w:cs="Arial"/>
          <w:b/>
          <w:bCs/>
          <w:sz w:val="20"/>
          <w:szCs w:val="20"/>
        </w:rPr>
        <w:t>Sammanfattning fritextsvar</w:t>
      </w:r>
    </w:p>
    <w:p w14:paraId="7521B7AD" w14:textId="0BF801FD" w:rsidR="009358E8" w:rsidRPr="00C76F48" w:rsidRDefault="009358E8" w:rsidP="009D56B4">
      <w:r w:rsidRPr="00C76F48">
        <w:t>Kursens styrkor var enligt studentern</w:t>
      </w:r>
      <w:r w:rsidR="00350955" w:rsidRPr="00C76F48">
        <w:t>a att många redan arbetade med onkologi vilket gav möjligheter för ämnesdjup på avancerad nivå och givande diskussioner.</w:t>
      </w:r>
      <w:r w:rsidR="00C76F48" w:rsidRPr="00C76F48">
        <w:t xml:space="preserve"> </w:t>
      </w:r>
    </w:p>
    <w:p w14:paraId="3F1424B0" w14:textId="39ABB7C0" w:rsidR="00C76F48" w:rsidRPr="00C76F48" w:rsidRDefault="00C76F48" w:rsidP="009D56B4">
      <w:r w:rsidRPr="00C76F48">
        <w:t>Kursen sågs som en möjlig plattform för att även kunna innefatta cytostatika-körkort.</w:t>
      </w:r>
    </w:p>
    <w:p w14:paraId="6CDC48E2" w14:textId="70767875" w:rsidR="00350955" w:rsidRPr="00C76F48" w:rsidRDefault="00350955" w:rsidP="009D56B4">
      <w:r w:rsidRPr="00C76F48">
        <w:t xml:space="preserve">VIL </w:t>
      </w:r>
      <w:r w:rsidR="00C76F48" w:rsidRPr="00C76F48">
        <w:t xml:space="preserve">upplevdes positivt och lärorikt, denna </w:t>
      </w:r>
      <w:r w:rsidRPr="00C76F48">
        <w:t xml:space="preserve">sågs som en möjlighet till </w:t>
      </w:r>
      <w:proofErr w:type="spellStart"/>
      <w:r w:rsidRPr="00C76F48">
        <w:t>peer-learning</w:t>
      </w:r>
      <w:proofErr w:type="spellEnd"/>
      <w:r w:rsidRPr="00C76F48">
        <w:t xml:space="preserve"> med en student</w:t>
      </w:r>
      <w:r w:rsidR="00C76F48" w:rsidRPr="00C76F48">
        <w:t>kollega, om två studenter placerades på samma VIL plats.</w:t>
      </w:r>
    </w:p>
    <w:p w14:paraId="015314DB" w14:textId="77777777" w:rsidR="00350955" w:rsidRPr="00C76F48" w:rsidRDefault="00350955" w:rsidP="009D56B4"/>
    <w:p w14:paraId="29905DDD" w14:textId="602CE59E" w:rsidR="009358E8" w:rsidRPr="00C76F48" w:rsidRDefault="009358E8" w:rsidP="009D56B4">
      <w:r w:rsidRPr="00C76F48">
        <w:t>Kursens förbättringsområden enligt studenterna</w:t>
      </w:r>
      <w:r w:rsidR="000B7254" w:rsidRPr="00C76F48">
        <w:t xml:space="preserve"> att </w:t>
      </w:r>
      <w:r w:rsidR="00350955" w:rsidRPr="00C76F48">
        <w:t xml:space="preserve">fler teoridagar med </w:t>
      </w:r>
      <w:r w:rsidR="000B7254" w:rsidRPr="00C76F48">
        <w:t xml:space="preserve">föreläsningar om fler onkologiska sjukdomar och dess behandling skulle </w:t>
      </w:r>
      <w:r w:rsidR="00350955" w:rsidRPr="00C76F48">
        <w:t>ge en</w:t>
      </w:r>
      <w:r w:rsidR="00350955" w:rsidRPr="00C76F48">
        <w:t xml:space="preserve"> bredare fördjupning</w:t>
      </w:r>
      <w:r w:rsidR="00350955" w:rsidRPr="00C76F48">
        <w:t xml:space="preserve">. </w:t>
      </w:r>
      <w:r w:rsidR="00350955" w:rsidRPr="00C76F48">
        <w:t>Ökat fokus på symtom och dess omvårdnadsåtgärder efterfrågades.</w:t>
      </w:r>
    </w:p>
    <w:p w14:paraId="696F1750" w14:textId="294833ED" w:rsidR="000B7254" w:rsidRPr="00C76F48" w:rsidRDefault="000B7254" w:rsidP="009D56B4">
      <w:r w:rsidRPr="00C76F48">
        <w:t xml:space="preserve">Kursens delar om pedagogiska möten sågs inte </w:t>
      </w:r>
      <w:r w:rsidR="00350955" w:rsidRPr="00C76F48">
        <w:t>bidra till</w:t>
      </w:r>
      <w:r w:rsidRPr="00C76F48">
        <w:t xml:space="preserve"> fördjupning om cancersjukdomar och dess behandlingar. </w:t>
      </w:r>
    </w:p>
    <w:p w14:paraId="7CAE6171" w14:textId="19179030" w:rsidR="000B7254" w:rsidRPr="00C76F48" w:rsidRDefault="000B7254" w:rsidP="009D56B4">
      <w:r w:rsidRPr="00C76F48">
        <w:t xml:space="preserve">Färre gruppuppgifter önskades, då många arbetade olika tider. </w:t>
      </w:r>
    </w:p>
    <w:p w14:paraId="62AD1DB7" w14:textId="619934F1" w:rsidR="00350955" w:rsidRPr="00C76F48" w:rsidRDefault="00350955" w:rsidP="009D56B4">
      <w:r w:rsidRPr="00C76F48">
        <w:t>Examinationsuppgiften upplevdes inte relevant och kliniskt användbar, då mkt aktuell litteratur finns att tillgå för ämnesdjup.</w:t>
      </w:r>
    </w:p>
    <w:p w14:paraId="226D9E0F" w14:textId="77777777" w:rsidR="009D56B4" w:rsidRDefault="009D56B4" w:rsidP="009D56B4">
      <w:pPr>
        <w:pStyle w:val="Rubrik4"/>
      </w:pPr>
      <w:r>
        <w:t>Kursansvarigs reflektioner kring kursens genomförande och resultat</w:t>
      </w:r>
    </w:p>
    <w:p w14:paraId="625576D2" w14:textId="77777777" w:rsidR="009358E8" w:rsidRDefault="009358E8" w:rsidP="009D56B4">
      <w:r w:rsidRPr="009358E8">
        <w:t xml:space="preserve">Kursens </w:t>
      </w:r>
      <w:r w:rsidR="00AC323E">
        <w:t xml:space="preserve">övergripande </w:t>
      </w:r>
      <w:r w:rsidRPr="009358E8">
        <w:t>mål är att studente</w:t>
      </w:r>
      <w:r>
        <w:t>r</w:t>
      </w:r>
      <w:r w:rsidRPr="009358E8">
        <w:t>n</w:t>
      </w:r>
      <w:r>
        <w:t>a</w:t>
      </w:r>
      <w:r w:rsidRPr="009358E8">
        <w:t xml:space="preserve"> skall fördjupa sina kunskaper om cancersjukdomars etiologi, diagnostik, behandling samt omvårdnad.</w:t>
      </w:r>
      <w:r w:rsidR="00AC323E" w:rsidRPr="00AC323E">
        <w:t xml:space="preserve"> Kursens målgrupp är sjuksköterskor som arbetar i verksamheter där pa</w:t>
      </w:r>
      <w:r w:rsidR="00AC323E">
        <w:t>tienter med cancersjukdom i såväl kurativ som palliativ fas</w:t>
      </w:r>
      <w:r w:rsidR="00AC323E" w:rsidRPr="00AC323E">
        <w:t xml:space="preserve"> vårdas</w:t>
      </w:r>
      <w:r w:rsidR="00AC323E">
        <w:t>.</w:t>
      </w:r>
      <w:r w:rsidR="00AC323E" w:rsidRPr="00AC323E">
        <w:t xml:space="preserve"> Utbildningen utgår från ett problemorienterat och kollaborativt synsätt på lärande</w:t>
      </w:r>
      <w:r w:rsidR="00AC323E">
        <w:t xml:space="preserve"> där olika pedagogiska arbetsformer används såsom individuella studieuppgifter, gruppuppgifter, gruppdiskussioner samt föreläsningar och </w:t>
      </w:r>
      <w:proofErr w:type="spellStart"/>
      <w:r w:rsidR="00AC323E">
        <w:t>webinarier</w:t>
      </w:r>
      <w:proofErr w:type="spellEnd"/>
      <w:r w:rsidR="00AC323E">
        <w:t xml:space="preserve"> för att uppnå lärandemålen och främja ett livslångt lärande. </w:t>
      </w:r>
      <w:proofErr w:type="spellStart"/>
      <w:r w:rsidR="00AC323E" w:rsidRPr="00AC323E">
        <w:t>Verksamhetsintegrerat</w:t>
      </w:r>
      <w:proofErr w:type="spellEnd"/>
      <w:r w:rsidR="00AC323E" w:rsidRPr="00AC323E">
        <w:t xml:space="preserve"> lärande (VIL) ingår.</w:t>
      </w:r>
    </w:p>
    <w:p w14:paraId="752CD17B" w14:textId="77777777" w:rsidR="00C76F48" w:rsidRDefault="00C76F48" w:rsidP="009D56B4"/>
    <w:p w14:paraId="257C2470" w14:textId="22FB83E3" w:rsidR="00C76F48" w:rsidRPr="009358E8" w:rsidRDefault="00C76F48" w:rsidP="009D56B4">
      <w:r>
        <w:t>Kursen har enligt studenterna bidragit till värdefulla kunskaper och färdigheter, stimulerat till ett vetenskapligt förhållningssätt</w:t>
      </w:r>
      <w:r w:rsidR="002F4399">
        <w:t xml:space="preserve"> samt att de uppnått kursens lärandemål. Att många av studenterna redan hade kunskaper i onkologi och onkologisk omvårdnad möjliggjorde att kunskapsinhämtandet ytterligare kunde fördjupas. De två VIL placeringarna var mycket uppskattade och lärorika. Däremot upplevdes inte den förändrade examinationsuppgiften ge en kliniskt relevant och användbar kunskapsbas, detta behöver ses över till nästa kurstillfälle</w:t>
      </w:r>
      <w:r w:rsidR="000B6EE5">
        <w:t>.</w:t>
      </w:r>
    </w:p>
    <w:p w14:paraId="03BC3A2C" w14:textId="77777777" w:rsidR="009358E8" w:rsidRDefault="009358E8" w:rsidP="009D56B4">
      <w:pPr>
        <w:rPr>
          <w:i/>
        </w:rPr>
      </w:pPr>
    </w:p>
    <w:p w14:paraId="7A992121" w14:textId="77777777" w:rsidR="003E3E4D" w:rsidRDefault="003E3E4D" w:rsidP="009D56B4">
      <w:pPr>
        <w:rPr>
          <w:i/>
        </w:rPr>
      </w:pPr>
    </w:p>
    <w:p w14:paraId="5F98EF6A" w14:textId="77777777" w:rsidR="003054ED" w:rsidRDefault="003054ED" w:rsidP="009D56B4">
      <w:pPr>
        <w:rPr>
          <w:i/>
        </w:rPr>
      </w:pPr>
    </w:p>
    <w:p w14:paraId="09259C3D" w14:textId="77777777" w:rsidR="00E97E33" w:rsidRDefault="00E97E33" w:rsidP="009D56B4">
      <w:pPr>
        <w:rPr>
          <w:i/>
        </w:rPr>
      </w:pPr>
    </w:p>
    <w:p w14:paraId="575E5554" w14:textId="77777777" w:rsidR="003129E8" w:rsidRDefault="003129E8" w:rsidP="009D56B4">
      <w:pPr>
        <w:rPr>
          <w:i/>
        </w:rPr>
      </w:pPr>
    </w:p>
    <w:p w14:paraId="66C373F2" w14:textId="77777777" w:rsidR="003129E8" w:rsidRDefault="003129E8" w:rsidP="009D56B4">
      <w:pPr>
        <w:rPr>
          <w:i/>
        </w:rPr>
      </w:pPr>
    </w:p>
    <w:p w14:paraId="1431D229" w14:textId="77777777" w:rsidR="003129E8" w:rsidRDefault="003129E8" w:rsidP="009D56B4">
      <w:pPr>
        <w:rPr>
          <w:i/>
        </w:rPr>
      </w:pPr>
    </w:p>
    <w:p w14:paraId="0EFA5EE0" w14:textId="77777777" w:rsidR="003129E8" w:rsidRPr="00D65235" w:rsidRDefault="003129E8" w:rsidP="009D56B4">
      <w:pPr>
        <w:rPr>
          <w:i/>
        </w:rPr>
      </w:pPr>
    </w:p>
    <w:p w14:paraId="02E784C4" w14:textId="77777777" w:rsidR="009D56B4" w:rsidRDefault="009D56B4" w:rsidP="009D56B4">
      <w:pPr>
        <w:rPr>
          <w:color w:val="000000"/>
        </w:rPr>
      </w:pPr>
    </w:p>
    <w:p w14:paraId="06DCF3F3"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65877337" w14:textId="77777777" w:rsidR="00D64FE6" w:rsidRPr="00902637" w:rsidRDefault="00D64FE6" w:rsidP="00D64FE6">
      <w:pPr>
        <w:rPr>
          <w:iCs/>
          <w:color w:val="000000"/>
        </w:rPr>
      </w:pPr>
      <w:r w:rsidRPr="00902637">
        <w:rPr>
          <w:iCs/>
          <w:color w:val="000000"/>
        </w:rPr>
        <w:t xml:space="preserve">Kursen ges av disputerade lärare med </w:t>
      </w:r>
      <w:r>
        <w:rPr>
          <w:iCs/>
          <w:color w:val="000000"/>
        </w:rPr>
        <w:t>specialistkompetens inom</w:t>
      </w:r>
      <w:r w:rsidRPr="00902637">
        <w:rPr>
          <w:iCs/>
          <w:color w:val="000000"/>
        </w:rPr>
        <w:t xml:space="preserve"> cancersjukdom, </w:t>
      </w:r>
      <w:r>
        <w:rPr>
          <w:iCs/>
          <w:color w:val="000000"/>
        </w:rPr>
        <w:t xml:space="preserve">behandling och </w:t>
      </w:r>
      <w:r w:rsidRPr="00902637">
        <w:rPr>
          <w:iCs/>
          <w:color w:val="000000"/>
        </w:rPr>
        <w:t>omvårdn</w:t>
      </w:r>
      <w:r>
        <w:rPr>
          <w:iCs/>
          <w:color w:val="000000"/>
        </w:rPr>
        <w:t>ad</w:t>
      </w:r>
      <w:r w:rsidRPr="00902637">
        <w:rPr>
          <w:iCs/>
          <w:color w:val="000000"/>
        </w:rPr>
        <w:t>.</w:t>
      </w:r>
      <w:r w:rsidRPr="00902637">
        <w:t xml:space="preserve"> </w:t>
      </w:r>
      <w:r>
        <w:rPr>
          <w:iCs/>
          <w:color w:val="000000"/>
        </w:rPr>
        <w:t>K</w:t>
      </w:r>
      <w:r w:rsidRPr="00902637">
        <w:rPr>
          <w:iCs/>
          <w:color w:val="000000"/>
        </w:rPr>
        <w:t>ursen</w:t>
      </w:r>
      <w:r>
        <w:rPr>
          <w:iCs/>
          <w:color w:val="000000"/>
        </w:rPr>
        <w:t>s föreläsare</w:t>
      </w:r>
      <w:r w:rsidRPr="00902637">
        <w:rPr>
          <w:iCs/>
          <w:color w:val="000000"/>
        </w:rPr>
        <w:t xml:space="preserve"> representerar olika yrkeskategorier såväl som olika specialistområden och klinisk verksamhet.</w:t>
      </w:r>
      <w:r w:rsidRPr="00902637">
        <w:t xml:space="preserve"> </w:t>
      </w:r>
      <w:r w:rsidRPr="00902637">
        <w:rPr>
          <w:iCs/>
          <w:color w:val="000000"/>
        </w:rPr>
        <w:t xml:space="preserve">Kursansvarig och examinator är disputerade </w:t>
      </w:r>
      <w:r>
        <w:rPr>
          <w:iCs/>
          <w:color w:val="000000"/>
        </w:rPr>
        <w:t xml:space="preserve">och verksamma inom onkologisk </w:t>
      </w:r>
      <w:r w:rsidRPr="00902637">
        <w:rPr>
          <w:iCs/>
          <w:color w:val="000000"/>
        </w:rPr>
        <w:t>sjukvård samt har högskolepedagogisk kompetens.</w:t>
      </w:r>
    </w:p>
    <w:p w14:paraId="5CCB8DBF" w14:textId="4EBEB3C5" w:rsidR="009D56B4" w:rsidRPr="003129E8" w:rsidRDefault="00D64FE6" w:rsidP="009D56B4">
      <w:pPr>
        <w:rPr>
          <w:iCs/>
          <w:color w:val="000000"/>
        </w:rPr>
      </w:pPr>
      <w:r w:rsidRPr="00902637">
        <w:rPr>
          <w:iCs/>
          <w:color w:val="000000"/>
        </w:rPr>
        <w:t xml:space="preserve">Studie- och examinationsuppgifter </w:t>
      </w:r>
      <w:r>
        <w:rPr>
          <w:iCs/>
          <w:color w:val="000000"/>
        </w:rPr>
        <w:t>belyser</w:t>
      </w:r>
      <w:r w:rsidRPr="00902637">
        <w:rPr>
          <w:iCs/>
          <w:color w:val="000000"/>
        </w:rPr>
        <w:t xml:space="preserve"> genomgående tillämpningen av evi</w:t>
      </w:r>
      <w:r>
        <w:rPr>
          <w:iCs/>
          <w:color w:val="000000"/>
        </w:rPr>
        <w:t>densbaserad omvårdnad vid cancersjukdom</w:t>
      </w:r>
      <w:r w:rsidRPr="00902637">
        <w:rPr>
          <w:iCs/>
          <w:color w:val="000000"/>
        </w:rPr>
        <w:t xml:space="preserve"> i relation till beprövad erfarenhet där reflektioner och resonemang ska vara vetenskapligt förankrade.</w:t>
      </w:r>
    </w:p>
    <w:p w14:paraId="0809D200" w14:textId="77777777" w:rsidR="009D56B4" w:rsidRDefault="003A5643" w:rsidP="009D56B4">
      <w:pPr>
        <w:pStyle w:val="Rubrik4"/>
      </w:pPr>
      <w:r>
        <w:t>Kursansvarigs s</w:t>
      </w:r>
      <w:r w:rsidR="009D56B4">
        <w:t>lutsatser och förslag till förbättringar</w:t>
      </w:r>
    </w:p>
    <w:p w14:paraId="53248FF1" w14:textId="72E5DC3E" w:rsidR="000B6EE5" w:rsidRPr="000B6EE5" w:rsidRDefault="000B6EE5" w:rsidP="000B6EE5">
      <w:r>
        <w:t>Kursen kommer under VT24-HT24 ges helt webbaserat liksom vid föregående tillfälle. De olika delarna i vart moment behöver ses över avseende innehåll och struktur så ”den röda tråden” tydliggörs ämnesdjupet breddas.</w:t>
      </w:r>
      <w:r w:rsidR="003129E8">
        <w:t xml:space="preserve"> Examinationsuppgifterna behöver utvecklas ytterligare för att möjliggöra ämnesbredd såväl som ämnesdjup.</w:t>
      </w:r>
      <w:r w:rsidR="003129E8" w:rsidRPr="003129E8">
        <w:t xml:space="preserve"> </w:t>
      </w:r>
      <w:r w:rsidR="003129E8">
        <w:t>D</w:t>
      </w:r>
      <w:r w:rsidR="003129E8" w:rsidRPr="003129E8">
        <w:t>igital</w:t>
      </w:r>
      <w:r w:rsidR="003129E8">
        <w:t>a</w:t>
      </w:r>
      <w:r w:rsidR="003129E8" w:rsidRPr="003129E8">
        <w:t xml:space="preserve"> resurstillfälle</w:t>
      </w:r>
      <w:r w:rsidR="003129E8">
        <w:t>n</w:t>
      </w:r>
      <w:r w:rsidR="003129E8" w:rsidRPr="003129E8">
        <w:t xml:space="preserve"> kommer även framledes tillhandahållas för att främja möjligheten till dialog, vägledning och återkoppling utöver den återkoppling som ges i samband med studie- och examinationsuppgifterna.</w:t>
      </w:r>
    </w:p>
    <w:p w14:paraId="0361219B" w14:textId="05035CD2" w:rsidR="00137141" w:rsidRDefault="009D56B4" w:rsidP="003129E8">
      <w:pPr>
        <w:pStyle w:val="Rubrik4"/>
      </w:pPr>
      <w:r>
        <w:t xml:space="preserve">Synpunkter på kursen och förbättringsförslag från övriga </w:t>
      </w:r>
    </w:p>
    <w:p w14:paraId="147DCA87" w14:textId="77777777" w:rsidR="003129E8" w:rsidRPr="003129E8" w:rsidRDefault="003129E8" w:rsidP="003129E8"/>
    <w:p w14:paraId="79CA34B9" w14:textId="06E5F23F" w:rsidR="00A85242" w:rsidRDefault="00137141" w:rsidP="00DC412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832941" w:rsidRPr="00141E89">
        <w:rPr>
          <w:iCs/>
        </w:rPr>
        <w:t>Kursanalysen kommer återkopplas till studenterna via kurswebben.</w:t>
      </w:r>
    </w:p>
    <w:p w14:paraId="5D558A27"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9559E" w14:textId="77777777" w:rsidR="00F6143A" w:rsidRDefault="00F6143A" w:rsidP="009D56B4">
      <w:r>
        <w:separator/>
      </w:r>
    </w:p>
  </w:endnote>
  <w:endnote w:type="continuationSeparator" w:id="0">
    <w:p w14:paraId="6F110343" w14:textId="77777777" w:rsidR="00F6143A" w:rsidRDefault="00F6143A"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912C"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832941">
      <w:rPr>
        <w:b/>
        <w:noProof/>
      </w:rPr>
      <w:t>3</w:t>
    </w:r>
    <w:r w:rsidR="00BF1445">
      <w:rPr>
        <w:b/>
      </w:rPr>
      <w:fldChar w:fldCharType="end"/>
    </w:r>
    <w:r>
      <w:t xml:space="preserve"> av </w:t>
    </w:r>
    <w:fldSimple w:instr="NUMPAGES  \* Arabic  \* MERGEFORMAT">
      <w:r w:rsidR="00832941" w:rsidRPr="00832941">
        <w:rPr>
          <w:b/>
          <w:noProof/>
        </w:rPr>
        <w:t>3</w:t>
      </w:r>
    </w:fldSimple>
  </w:p>
  <w:p w14:paraId="4DF0F9CF"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01B29" w14:textId="77777777" w:rsidR="00F6143A" w:rsidRDefault="00F6143A" w:rsidP="009D56B4">
      <w:r>
        <w:separator/>
      </w:r>
    </w:p>
  </w:footnote>
  <w:footnote w:type="continuationSeparator" w:id="0">
    <w:p w14:paraId="5E4F7AFE" w14:textId="77777777" w:rsidR="00F6143A" w:rsidRDefault="00F6143A"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EC459" w14:textId="77777777" w:rsidR="009D56B4" w:rsidRDefault="00ED0D19">
    <w:pPr>
      <w:pStyle w:val="Sidhuvud"/>
    </w:pPr>
    <w:bookmarkStart w:id="0" w:name="stc3_oa_Logo_sv_0002"/>
    <w:r>
      <w:rPr>
        <w:noProof/>
        <w:lang w:eastAsia="sv-SE"/>
      </w:rPr>
      <mc:AlternateContent>
        <mc:Choice Requires="wps">
          <w:drawing>
            <wp:anchor distT="0" distB="0" distL="114300" distR="114300" simplePos="0" relativeHeight="251659264" behindDoc="0" locked="0" layoutInCell="1" allowOverlap="1" wp14:anchorId="2A9DE98E" wp14:editId="0715C5AE">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1B5" w14:textId="44A2F2EA" w:rsidR="009D56B4" w:rsidRDefault="009D56B4">
                          <w:r>
                            <w:t>Kursutvärdering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A9DE98E"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037B21B5" w14:textId="44A2F2EA" w:rsidR="009D56B4" w:rsidRDefault="009D56B4">
                    <w:r>
                      <w:t>Kursutvärdering</w:t>
                    </w:r>
                  </w:p>
                </w:txbxContent>
              </v:textbox>
            </v:shape>
          </w:pict>
        </mc:Fallback>
      </mc:AlternateContent>
    </w:r>
    <w:r w:rsidR="009D56B4">
      <w:rPr>
        <w:noProof/>
        <w:lang w:eastAsia="sv-SE"/>
      </w:rPr>
      <w:drawing>
        <wp:inline distT="0" distB="0" distL="0" distR="0" wp14:anchorId="694D5690" wp14:editId="56FEAE8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513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2440"/>
    <w:rsid w:val="00084E33"/>
    <w:rsid w:val="00086C1D"/>
    <w:rsid w:val="000B6EE5"/>
    <w:rsid w:val="000B7254"/>
    <w:rsid w:val="000D61CC"/>
    <w:rsid w:val="000D7841"/>
    <w:rsid w:val="000F2950"/>
    <w:rsid w:val="00121457"/>
    <w:rsid w:val="00137141"/>
    <w:rsid w:val="001503F2"/>
    <w:rsid w:val="00171153"/>
    <w:rsid w:val="001947C8"/>
    <w:rsid w:val="001A5C54"/>
    <w:rsid w:val="001C58BD"/>
    <w:rsid w:val="0022423F"/>
    <w:rsid w:val="002705DA"/>
    <w:rsid w:val="0027127B"/>
    <w:rsid w:val="002833B7"/>
    <w:rsid w:val="00285470"/>
    <w:rsid w:val="0028717C"/>
    <w:rsid w:val="002D760D"/>
    <w:rsid w:val="002F4399"/>
    <w:rsid w:val="003054ED"/>
    <w:rsid w:val="003056D9"/>
    <w:rsid w:val="003129E8"/>
    <w:rsid w:val="00326A68"/>
    <w:rsid w:val="00326B40"/>
    <w:rsid w:val="00350955"/>
    <w:rsid w:val="0035299E"/>
    <w:rsid w:val="003A4F46"/>
    <w:rsid w:val="003A5643"/>
    <w:rsid w:val="003A7EA4"/>
    <w:rsid w:val="003C6E42"/>
    <w:rsid w:val="003E3E4D"/>
    <w:rsid w:val="00441017"/>
    <w:rsid w:val="004F3FB0"/>
    <w:rsid w:val="00526EFE"/>
    <w:rsid w:val="005B42A0"/>
    <w:rsid w:val="005B5FC1"/>
    <w:rsid w:val="00702617"/>
    <w:rsid w:val="007032BF"/>
    <w:rsid w:val="007072ED"/>
    <w:rsid w:val="00723D45"/>
    <w:rsid w:val="00734E5C"/>
    <w:rsid w:val="007A6A19"/>
    <w:rsid w:val="00800CFE"/>
    <w:rsid w:val="00832941"/>
    <w:rsid w:val="00854CC1"/>
    <w:rsid w:val="008958A1"/>
    <w:rsid w:val="008B71CE"/>
    <w:rsid w:val="009358E8"/>
    <w:rsid w:val="0094249F"/>
    <w:rsid w:val="00970A85"/>
    <w:rsid w:val="009A4DB5"/>
    <w:rsid w:val="009A5239"/>
    <w:rsid w:val="009C68F8"/>
    <w:rsid w:val="009D56B4"/>
    <w:rsid w:val="00A27774"/>
    <w:rsid w:val="00A6643D"/>
    <w:rsid w:val="00A85242"/>
    <w:rsid w:val="00AC323E"/>
    <w:rsid w:val="00AD2AD6"/>
    <w:rsid w:val="00AF7C47"/>
    <w:rsid w:val="00B06890"/>
    <w:rsid w:val="00B62D0B"/>
    <w:rsid w:val="00B77FE8"/>
    <w:rsid w:val="00BE34D5"/>
    <w:rsid w:val="00BF1445"/>
    <w:rsid w:val="00BF5F58"/>
    <w:rsid w:val="00C04BDC"/>
    <w:rsid w:val="00C51D51"/>
    <w:rsid w:val="00C76F48"/>
    <w:rsid w:val="00C82FC9"/>
    <w:rsid w:val="00CA4A32"/>
    <w:rsid w:val="00CC20E4"/>
    <w:rsid w:val="00D219BE"/>
    <w:rsid w:val="00D54A24"/>
    <w:rsid w:val="00D64FE6"/>
    <w:rsid w:val="00D962F5"/>
    <w:rsid w:val="00DC4126"/>
    <w:rsid w:val="00DF0711"/>
    <w:rsid w:val="00E3255B"/>
    <w:rsid w:val="00E67541"/>
    <w:rsid w:val="00E73B59"/>
    <w:rsid w:val="00E94EA7"/>
    <w:rsid w:val="00E97E33"/>
    <w:rsid w:val="00EB38AB"/>
    <w:rsid w:val="00EC08CB"/>
    <w:rsid w:val="00ED0D19"/>
    <w:rsid w:val="00ED102B"/>
    <w:rsid w:val="00EE534C"/>
    <w:rsid w:val="00F10C42"/>
    <w:rsid w:val="00F6143A"/>
    <w:rsid w:val="00F71EED"/>
    <w:rsid w:val="00F914AE"/>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D8561D"/>
  <w15:docId w15:val="{73CCEAAF-7768-4F20-9B87-95F775CC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0D7841"/>
    <w:rsid w:val="001848EF"/>
    <w:rsid w:val="00375E89"/>
    <w:rsid w:val="003A5DEC"/>
    <w:rsid w:val="0071639C"/>
    <w:rsid w:val="009B537F"/>
    <w:rsid w:val="00C81B18"/>
    <w:rsid w:val="00D3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5B19-6A17-44FC-8426-B044E91F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1077</Words>
  <Characters>5710</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Carina Lindblad</cp:lastModifiedBy>
  <cp:revision>3</cp:revision>
  <cp:lastPrinted>2015-02-10T12:22:00Z</cp:lastPrinted>
  <dcterms:created xsi:type="dcterms:W3CDTF">2024-09-02T12:52:00Z</dcterms:created>
  <dcterms:modified xsi:type="dcterms:W3CDTF">2024-09-02T16:32:00Z</dcterms:modified>
</cp:coreProperties>
</file>